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ahnschrift" w:hAnsi="Bahnschrift"/>
          <w:b/>
          <w:bCs/>
          <w:sz w:val="96"/>
          <w:szCs w:val="96"/>
          <w:lang w:val="en-US"/>
        </w:rPr>
      </w:pPr>
      <w:r>
        <w:rPr>
          <w:rFonts w:ascii="Bahnschrift" w:hAnsi="Bahnschrift"/>
          <w:b/>
          <w:bCs/>
          <w:sz w:val="96"/>
          <w:szCs w:val="96"/>
          <w:lang w:val="en-US"/>
        </w:rPr>
        <w:t>Floric</w:t>
      </w:r>
      <w:r>
        <w:rPr>
          <w:rFonts w:ascii="Bahnschrift" w:hAnsi="Bahnschrift"/>
          <w:b/>
          <w:bCs/>
          <w:sz w:val="96"/>
          <w:szCs w:val="96"/>
          <w:lang w:val="en-US"/>
        </w:rPr>
        <w:t>a</w:t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  <w:t>Приложение 1</w:t>
      </w:r>
    </w:p>
    <w:p>
      <w:pPr>
        <w:pStyle w:val="Normal"/>
        <w:jc w:val="right"/>
        <w:rPr/>
      </w:pPr>
      <w:r>
        <w:rPr/>
        <w:t>к Прайс-листу на оказание услуг ООО «Цифин»</w:t>
      </w:r>
    </w:p>
    <w:p>
      <w:pPr>
        <w:pStyle w:val="Normal"/>
        <w:jc w:val="right"/>
        <w:rPr/>
      </w:pPr>
      <w:r>
        <w:rPr/>
        <w:t>от 01.11.2023 г.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Стоимость услуг</w:t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3115"/>
        <w:gridCol w:w="3115"/>
      </w:tblGrid>
      <w:tr>
        <w:trPr/>
        <w:tc>
          <w:tcPr>
            <w:tcW w:w="3115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 xml:space="preserve">№ </w:t>
            </w: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п/п</w:t>
            </w:r>
          </w:p>
        </w:tc>
        <w:tc>
          <w:tcPr>
            <w:tcW w:w="3115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Услуга</w:t>
            </w:r>
          </w:p>
        </w:tc>
        <w:tc>
          <w:tcPr>
            <w:tcW w:w="3115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Стоимость (руб.)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Поиск и рассылка закупочных процедур, 1 месяц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Поиск и рассылка закупочных процедур, 3 месяц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4 500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Поиск и рассылка закупочных процедур, 6 месяц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8 000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4.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Поиск и рассылка закупочных процедур, 12 месяцев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5.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Экспертный Поиск, подбор и рассылка закупочных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процедур, 1 месяц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от 6 000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6.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Аккредитация в ЕИС и ФЭТП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7.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Аккредитация на АСТ ГОЗ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9 000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8.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Аккредитации на ЭТП ТЭК-ТОРГ и в ПАО «НК Роснефть»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5 000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9.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Аккредитации на ЭТП ГПБ, в секции Газпром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10.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Регистрация на коммерческой ЭТП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Регистрация или обновление электронной подписи на ЭТП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12.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Прохождение процедуры соответствия дополнительным требованиям к участникам закупок (2571-ПП), на 1-ой ФЭТП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13.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Прохождение процедуры соответствия дополнительным требованиям к участникам закупок (2571-ПП), со 2-ой ФЭТП,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и за каждую последующую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14.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Прохождение процедуры соответствия дополнительным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требованиям к участникам закупок (2571-ПП), на всех 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ФЭТП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9 500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15.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Анализ документации закупки по 44-ФЗ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16.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Анализ документации закупки по 223-ФЗ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17.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Составление и подача запроса на разъяснение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документации закупки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18.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Подготовка формы заявки на участие в закупке, в т.ч. указание конкретных характеристик товара (до 5 позиций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включительно)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от 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19.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Подготовка необходимых документов, которые должны входить в состав заявки и (или) окончательного предложения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20.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Заполнение или проверка конкретных характеристик товара (до 5 позиций включительно)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Заполнение или проверка конкретных характеристик товара (с 6-ой позиции). Стоимость за каждую последующую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позицию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22.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Подача заявки на участие в закупке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23.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Участие в аукционе на ЭТП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24.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Подписание контракта/договора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25.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Подача жалобы в ФАС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10 000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26.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Представительство интересов Заказчика в ФАС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от 10 000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27.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Электронное актирование в ЕИС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от 3 500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28.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Юридические услуги по заключению контракта/договора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4 000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29.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Юридические услуги по исполнению контракта/договора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4 000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30.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Юридические услуги по подготовке исходящих документов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8 000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31.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Юридические услуги по взысканию задолженности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10 000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32.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Юридические услуги по представлению интересов в суде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от 10 000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33.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Сопровождение ЭЦП, выданной ФНС в течение 12 мес., которое включает в себя: настройка рабочих мест и настройку портала Госуслуг и ФНС на рабочих местах,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настройку портала и ЭТП, и настройку в Прайс-лист на оказание услуг ООО Цифин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34.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Консультационные услуги по настройке и регистрации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портале ГИС ДМДК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35.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Консультационные услуги по постановке на спецучет на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портале ГИИС ДМДК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3 000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36.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Консультационные услуги по настройке ЭЦП на 1-ом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рабочем месте, а так же настройка работы 1-го гос. портала (Госуслуги и ЕГИС)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37.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Консультационные услуги по настройке и регистрации 1-ой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ЭТП на 1-ом рабочем месте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1 500</w:t>
            </w:r>
          </w:p>
        </w:tc>
      </w:tr>
      <w:tr>
        <w:trPr/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38.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Консультационные услуги по настройке и работе госпортала Пенсионный фонд России (ПФР) на 1-ом рабочем месте</w:t>
            </w:r>
          </w:p>
        </w:tc>
        <w:tc>
          <w:tcPr>
            <w:tcW w:w="311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2 000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Стоимость тарифа «Пакет»</w:t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336"/>
        <w:gridCol w:w="2336"/>
        <w:gridCol w:w="2335"/>
        <w:gridCol w:w="1"/>
        <w:gridCol w:w="2336"/>
      </w:tblGrid>
      <w:tr>
        <w:trPr/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Критерий</w:t>
            </w:r>
          </w:p>
        </w:tc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Простые торги*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(44 ФЗ; 223 ФЗ)</w:t>
            </w:r>
          </w:p>
        </w:tc>
        <w:tc>
          <w:tcPr>
            <w:tcW w:w="2336" w:type="dxa"/>
            <w:gridSpan w:val="2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Сложные торги**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(44 ФЗ)</w:t>
            </w:r>
          </w:p>
        </w:tc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Сложные торги**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(223 ФЗ)</w:t>
            </w:r>
          </w:p>
        </w:tc>
      </w:tr>
      <w:tr>
        <w:trPr/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 1 тендер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6 000 руб.</w:t>
            </w:r>
          </w:p>
        </w:tc>
        <w:tc>
          <w:tcPr>
            <w:tcW w:w="2336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8 000 руб.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от 10 000 руб.</w:t>
            </w:r>
          </w:p>
        </w:tc>
      </w:tr>
      <w:tr>
        <w:trPr/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 5 тендеров</w:t>
            </w:r>
          </w:p>
        </w:tc>
        <w:tc>
          <w:tcPr>
            <w:tcW w:w="46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30 000 руб.</w:t>
            </w:r>
          </w:p>
        </w:tc>
        <w:tc>
          <w:tcPr>
            <w:tcW w:w="23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–</w:t>
            </w:r>
          </w:p>
        </w:tc>
      </w:tr>
      <w:tr>
        <w:trPr/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 10 тендеров**</w:t>
            </w:r>
          </w:p>
        </w:tc>
        <w:tc>
          <w:tcPr>
            <w:tcW w:w="4671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54 000 руб.</w:t>
            </w:r>
          </w:p>
        </w:tc>
        <w:tc>
          <w:tcPr>
            <w:tcW w:w="2337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–</w:t>
            </w:r>
          </w:p>
        </w:tc>
      </w:tr>
      <w:tr>
        <w:trPr/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Заполнение характеристик товара</w:t>
            </w:r>
          </w:p>
        </w:tc>
        <w:tc>
          <w:tcPr>
            <w:tcW w:w="7008" w:type="dxa"/>
            <w:gridSpan w:val="4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более 5 позиций – 200 рублей/позиция</w:t>
            </w:r>
          </w:p>
        </w:tc>
      </w:tr>
    </w:tbl>
    <w:p>
      <w:pPr>
        <w:pStyle w:val="Normal"/>
        <w:rPr/>
      </w:pPr>
      <w:r>
        <w:rPr/>
        <w:t>*Простые торги – единственный критерий победы – цена</w:t>
      </w:r>
    </w:p>
    <w:p>
      <w:pPr>
        <w:pStyle w:val="Normal"/>
        <w:rPr/>
      </w:pPr>
      <w:r>
        <w:rPr/>
        <w:t>**Сложные торги – балльная система оценки заявок (учитывается опыт, кадры, МТР и пр.)</w:t>
      </w:r>
    </w:p>
    <w:p>
      <w:pPr>
        <w:pStyle w:val="Normal"/>
        <w:rPr/>
      </w:pPr>
      <w:r>
        <w:rPr/>
        <w:t>***Пакет 10 тендеров – включает в себя поиск торгов, аккредитацию и регистрации на площадках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Стоимость тарифа «Абонентка»</w:t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336"/>
        <w:gridCol w:w="2336"/>
        <w:gridCol w:w="2336"/>
        <w:gridCol w:w="2336"/>
      </w:tblGrid>
      <w:tr>
        <w:trPr/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Критерий</w:t>
            </w:r>
          </w:p>
        </w:tc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Абонентское обслуживание 3</w:t>
            </w: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 xml:space="preserve"> месяца или 5 торгов</w:t>
            </w:r>
          </w:p>
        </w:tc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Абонентское обслуживание</w:t>
            </w: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 xml:space="preserve"> 3 месяца*</w:t>
            </w:r>
          </w:p>
        </w:tc>
        <w:tc>
          <w:tcPr>
            <w:tcW w:w="2336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Абонентское обслуживание</w:t>
            </w: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 xml:space="preserve"> 6 месяцев*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 тарифа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20 000 руб.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54 000 руб.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96 000 руб.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Количество тендеров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5 шт.</w:t>
            </w:r>
          </w:p>
        </w:tc>
        <w:tc>
          <w:tcPr>
            <w:tcW w:w="467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До 15 шт. (включительно) в месяц</w:t>
            </w:r>
          </w:p>
        </w:tc>
      </w:tr>
      <w:tr>
        <w:trPr/>
        <w:tc>
          <w:tcPr>
            <w:tcW w:w="233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 16-го тендера и последующих</w:t>
            </w:r>
          </w:p>
        </w:tc>
        <w:tc>
          <w:tcPr>
            <w:tcW w:w="233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–</w:t>
            </w:r>
          </w:p>
        </w:tc>
        <w:tc>
          <w:tcPr>
            <w:tcW w:w="467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1 000 рублей</w:t>
            </w:r>
          </w:p>
        </w:tc>
      </w:tr>
    </w:tbl>
    <w:p>
      <w:pPr>
        <w:pStyle w:val="Normal"/>
        <w:rPr/>
      </w:pPr>
      <w:r>
        <w:rPr/>
        <w:t>*Предусмотрена гарантия побед в двух тендерах — возврат стоимости тарифа, или пролонгация тарифа до двух выигранных тендеров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Стоимость тарифа «Индивидуальный»</w:t>
      </w:r>
    </w:p>
    <w:tbl>
      <w:tblPr>
        <w:tblStyle w:val="ac"/>
        <w:tblW w:w="9345" w:type="dxa"/>
        <w:jc w:val="left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 тарифа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 соглашению сторон</w:t>
            </w:r>
          </w:p>
        </w:tc>
      </w:tr>
      <w:tr>
        <w:trPr/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Срок тарифа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 соглашению сторон, но не менее 1 и не более 12 месяцев</w:t>
            </w:r>
          </w:p>
        </w:tc>
      </w:tr>
      <w:tr>
        <w:trPr/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Количество тендеров (лимит)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По соглашению сторон</w:t>
            </w:r>
          </w:p>
        </w:tc>
      </w:tr>
      <w:tr>
        <w:trPr/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 тендера сверх лимита</w:t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750 рублей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Стоимость тарифа «Юридическое сопровождение»</w:t>
      </w:r>
    </w:p>
    <w:tbl>
      <w:tblPr>
        <w:tblStyle w:val="ac"/>
        <w:tblW w:w="9351" w:type="dxa"/>
        <w:jc w:val="left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2249"/>
        <w:gridCol w:w="1572"/>
        <w:gridCol w:w="5530"/>
      </w:tblGrid>
      <w:tr>
        <w:trPr/>
        <w:tc>
          <w:tcPr>
            <w:tcW w:w="2249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Критерий</w:t>
            </w:r>
          </w:p>
        </w:tc>
        <w:tc>
          <w:tcPr>
            <w:tcW w:w="1572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</w:tc>
        <w:tc>
          <w:tcPr>
            <w:tcW w:w="5530" w:type="dxa"/>
            <w:tcBorders/>
            <w:shd w:color="auto" w:fill="7F7F7F" w:themeFill="text1" w:themeFillTint="80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  <w:color w:themeColor="background1" w:val="FFFFFF"/>
              </w:rPr>
            </w:pPr>
            <w:r>
              <w:rPr>
                <w:rFonts w:eastAsia="맑은 고딕" w:cs=""/>
                <w:b/>
                <w:bCs/>
                <w:color w:themeColor="background1" w:val="FFFFFF"/>
                <w:kern w:val="2"/>
                <w:sz w:val="24"/>
                <w:szCs w:val="24"/>
                <w:lang w:val="ru-RU" w:eastAsia="ko-KR" w:bidi="ar-SA"/>
              </w:rPr>
              <w:t>Описание услуг</w:t>
            </w:r>
          </w:p>
        </w:tc>
      </w:tr>
      <w:tr>
        <w:trPr/>
        <w:tc>
          <w:tcPr>
            <w:tcW w:w="22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 1 контракт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6 000 руб.</w:t>
            </w:r>
          </w:p>
        </w:tc>
        <w:tc>
          <w:tcPr>
            <w:tcW w:w="5530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По каждому контракту оказывается 2-е услуги: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Правовой анализ контракта/договора – выявление рисков, оценка вероятности их наступления, прогноз суммы возможных неустоек.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Консультирование по правовым вопросам исполнения контракта, предоставление необходимых шаблонов исходящих документов в адрес заказчика и рекомендации по использованию процедур воздействия на заказчика, с целью защиты от его неправомерных действий.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</w:r>
          </w:p>
        </w:tc>
      </w:tr>
      <w:tr>
        <w:trPr/>
        <w:tc>
          <w:tcPr>
            <w:tcW w:w="22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 5 контрактов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27 000 руб.</w:t>
            </w:r>
          </w:p>
        </w:tc>
        <w:tc>
          <w:tcPr>
            <w:tcW w:w="553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</w:r>
          </w:p>
        </w:tc>
      </w:tr>
      <w:tr>
        <w:trPr/>
        <w:tc>
          <w:tcPr>
            <w:tcW w:w="224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Стоимость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eastAsia="맑은 고딕" w:cs=""/>
                <w:b/>
                <w:bCs/>
                <w:kern w:val="2"/>
                <w:sz w:val="24"/>
                <w:szCs w:val="24"/>
                <w:lang w:val="ru-RU" w:eastAsia="ko-KR" w:bidi="ar-SA"/>
              </w:rPr>
              <w:t>За 10 контрактов</w:t>
            </w:r>
          </w:p>
        </w:tc>
        <w:tc>
          <w:tcPr>
            <w:tcW w:w="1572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  <w:t>50 000 руб.</w:t>
            </w:r>
          </w:p>
        </w:tc>
        <w:tc>
          <w:tcPr>
            <w:tcW w:w="5530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ptos" w:hAnsi="Aptos" w:eastAsia="맑은 고딕" w:cs=""/>
                <w:kern w:val="2"/>
                <w:sz w:val="24"/>
                <w:szCs w:val="24"/>
                <w:lang w:val="ru-RU" w:eastAsia="ko-KR" w:bidi="ar-SA"/>
              </w:rPr>
            </w:pPr>
            <w:r>
              <w:rPr>
                <w:rFonts w:eastAsia="맑은 고딕" w:cs=""/>
                <w:kern w:val="2"/>
                <w:sz w:val="24"/>
                <w:szCs w:val="24"/>
                <w:lang w:val="ru-RU" w:eastAsia="ko-KR" w:bidi="ar-SA"/>
              </w:rPr>
            </w:r>
          </w:p>
        </w:tc>
      </w:tr>
    </w:tbl>
    <w:p>
      <w:pPr>
        <w:pStyle w:val="Normal"/>
        <w:widowControl/>
        <w:bidi w:val="0"/>
        <w:spacing w:lineRule="auto" w:line="278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ahnschrift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kern w:val="2"/>
        <w:sz w:val="24"/>
        <w:szCs w:val="24"/>
        <w:lang w:val="ru-RU" w:eastAsia="ko-KR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2"/>
      <w:sz w:val="24"/>
      <w:szCs w:val="24"/>
      <w:lang w:val="ru-RU" w:eastAsia="ko-KR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b1437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1437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1437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1437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1437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1437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1437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1437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1437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b143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b1437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b14375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b14375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b14375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b14375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b14375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b14375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b14375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b1437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b1437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b1437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14375"/>
    <w:rPr>
      <w:i/>
      <w:iCs/>
      <w:color w:themeColor="accent1" w:themeShade="bf" w:val="0F476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14375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14375"/>
    <w:rPr>
      <w:b/>
      <w:bCs/>
      <w:smallCaps/>
      <w:color w:themeColor="accent1" w:themeShade="bf" w:val="0F4761"/>
      <w:spacing w:val="5"/>
    </w:rPr>
  </w:style>
  <w:style w:type="character" w:styleId="HTML" w:customStyle="1">
    <w:name w:val="Стандартный HTML Знак"/>
    <w:basedOn w:val="DefaultParagraphFont"/>
    <w:link w:val="HTMLPreformatted"/>
    <w:uiPriority w:val="99"/>
    <w:semiHidden/>
    <w:qFormat/>
    <w:rsid w:val="00e03e22"/>
    <w:rPr>
      <w:rFonts w:ascii="Consolas" w:hAnsi="Consolas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Style5"/>
    <w:uiPriority w:val="10"/>
    <w:qFormat/>
    <w:rsid w:val="00b14375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b1437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b1437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14375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14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HTMLPreformatted">
    <w:name w:val="HTML Preformatted"/>
    <w:basedOn w:val="Normal"/>
    <w:link w:val="HTML"/>
    <w:uiPriority w:val="99"/>
    <w:semiHidden/>
    <w:unhideWhenUsed/>
    <w:qFormat/>
    <w:rsid w:val="00e03e22"/>
    <w:pPr>
      <w:spacing w:lineRule="auto" w:line="240" w:before="0" w:after="0"/>
    </w:pPr>
    <w:rPr>
      <w:rFonts w:ascii="Consolas" w:hAnsi="Consolas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813f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Application>LibreOffice/25.2.3.2$Linux_X86_64 LibreOffice_project/520$Build-2</Application>
  <AppVersion>15.0000</AppVersion>
  <Pages>9</Pages>
  <Words>744</Words>
  <Characters>4139</Characters>
  <CharactersWithSpaces>4690</CharactersWithSpaces>
  <Paragraphs>201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2026-05-04T15:48:00Z</dcterms:created>
  <dc:creator>elka</dc:creator>
  <dc:description/>
  <dc:language>ru-RU</dc:language>
  <cp:lastModifiedBy/>
  <dcterms:modified xsi:type="dcterms:W3CDTF">2026-05-05T16:03:57Z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